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8596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19F04148">
      <w:pPr>
        <w:spacing w:beforeLines="50" w:afterLines="50"/>
        <w:rPr>
          <w:rFonts w:ascii="Times New Roman" w:hAnsi="Times New Roman" w:cs="Times New Roman"/>
        </w:rPr>
      </w:pPr>
    </w:p>
    <w:p w14:paraId="714A8AEF">
      <w:pPr>
        <w:spacing w:beforeLines="50" w:afterLines="50"/>
        <w:rPr>
          <w:rFonts w:ascii="Times New Roman" w:hAnsi="Times New Roman" w:cs="Times New Roman"/>
        </w:rPr>
      </w:pPr>
    </w:p>
    <w:p w14:paraId="4E66EF82">
      <w:pPr>
        <w:spacing w:beforeLines="50" w:afterLines="50"/>
        <w:rPr>
          <w:rFonts w:ascii="Times New Roman" w:hAnsi="Times New Roman" w:cs="Times New Roman"/>
        </w:rPr>
      </w:pPr>
    </w:p>
    <w:p w14:paraId="210ACF54">
      <w:pPr>
        <w:spacing w:beforeLines="50" w:afterLines="50"/>
        <w:rPr>
          <w:rFonts w:ascii="Times New Roman" w:hAnsi="Times New Roman" w:cs="Times New Roman"/>
        </w:rPr>
      </w:pPr>
    </w:p>
    <w:p w14:paraId="47F89357">
      <w:pPr>
        <w:spacing w:beforeLines="50" w:afterLines="50"/>
        <w:rPr>
          <w:rFonts w:ascii="Times New Roman" w:hAnsi="Times New Roman" w:cs="Times New Roman"/>
        </w:rPr>
      </w:pPr>
    </w:p>
    <w:p w14:paraId="3125ECB0"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067960 Rulleblander, 6 ruller</w:t>
      </w:r>
    </w:p>
    <w:p w14:paraId="180ECB7D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04040C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0B95916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FFFEA3E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3D6D160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57800" cy="3733800"/>
            <wp:effectExtent l="19050" t="0" r="0" b="0"/>
            <wp:docPr id="2" name="图片 1" descr="E:\清理Pro微信迁移目录\Users\xwechat_files\wxid_muahon3c2g0q21_d2f4\temp\InputTemp\5c4c74d5-9121-488f-bb92-4cc7799f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c4c74d5-9121-488f-bb92-4cc7799f605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36B10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3E942E08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4A90413A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4F5DD0F7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16778166">
      <w:pPr>
        <w:spacing w:beforeLines="50" w:afterLines="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</w:rPr>
        <w:t>Brugervejledning</w:t>
      </w:r>
    </w:p>
    <w:p w14:paraId="6823A183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</w:rPr>
      </w:pPr>
    </w:p>
    <w:p w14:paraId="724D614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B47D6E4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Produktbeskrivelse</w:t>
      </w:r>
    </w:p>
    <w:p w14:paraId="0F8E247F">
      <w:pPr>
        <w:spacing w:beforeLines="50" w:afterLines="50"/>
        <w:rPr>
          <w:rFonts w:ascii="Times New Roman" w:hAnsi="Times New Roman"/>
          <w:b/>
          <w:sz w:val="44"/>
        </w:rPr>
      </w:pPr>
    </w:p>
    <w:p w14:paraId="646D81CF">
      <w:pPr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Labfield blandere er designet og fremstillet i henhold til internationale avancerede designkoncepter og teknologier. Blanderne er yderst effektive og skånsomme og er velegnede til forskellige eksperimenter såsom blodanalyse og prøveblanding.</w:t>
      </w:r>
    </w:p>
    <w:p w14:paraId="1D8E7A14">
      <w:pPr>
        <w:spacing w:beforeLines="50" w:afterLines="50"/>
        <w:rPr>
          <w:rFonts w:ascii="Times New Roman" w:hAnsi="Times New Roman" w:cs="Times New Roman"/>
        </w:rPr>
      </w:pPr>
    </w:p>
    <w:p w14:paraId="64D6F576">
      <w:pPr>
        <w:spacing w:beforeLines="50" w:afterLines="50"/>
        <w:rPr>
          <w:rFonts w:ascii="Times New Roman" w:hAnsi="Times New Roman" w:cs="Times New Roman"/>
        </w:rPr>
      </w:pPr>
    </w:p>
    <w:p w14:paraId="5047E3B1">
      <w:pPr>
        <w:spacing w:beforeLines="50" w:afterLines="50"/>
        <w:rPr>
          <w:rFonts w:ascii="Times New Roman" w:hAnsi="Times New Roman" w:cs="Times New Roman"/>
        </w:rPr>
      </w:pPr>
    </w:p>
    <w:p w14:paraId="7076C241">
      <w:pPr>
        <w:spacing w:beforeLines="50" w:afterLines="50"/>
        <w:rPr>
          <w:rFonts w:hint="eastAsia" w:ascii="Times New Roman" w:hAnsi="Times New Roman" w:cs="Times New Roman"/>
        </w:rPr>
      </w:pPr>
    </w:p>
    <w:p w14:paraId="1689318C">
      <w:pPr>
        <w:spacing w:beforeLines="50" w:afterLines="50"/>
        <w:rPr>
          <w:rFonts w:hint="eastAsia" w:ascii="Times New Roman" w:hAnsi="Times New Roman" w:cs="Times New Roman"/>
        </w:rPr>
      </w:pPr>
    </w:p>
    <w:p w14:paraId="5BB2E126">
      <w:pPr>
        <w:spacing w:beforeLines="50" w:afterLines="50"/>
        <w:rPr>
          <w:rFonts w:hint="eastAsia" w:ascii="Times New Roman" w:hAnsi="Times New Roman" w:cs="Times New Roman"/>
        </w:rPr>
      </w:pPr>
    </w:p>
    <w:p w14:paraId="3E25D1FE">
      <w:pPr>
        <w:spacing w:beforeLines="50" w:afterLines="50"/>
        <w:rPr>
          <w:rFonts w:ascii="Times New Roman" w:hAnsi="Times New Roman" w:cs="Times New Roman"/>
        </w:rPr>
      </w:pPr>
    </w:p>
    <w:p w14:paraId="6167DC0F">
      <w:pPr>
        <w:spacing w:beforeLines="50" w:afterLines="50"/>
        <w:rPr>
          <w:rFonts w:ascii="Times New Roman" w:hAnsi="Times New Roman" w:cs="Times New Roman"/>
        </w:rPr>
      </w:pPr>
    </w:p>
    <w:p w14:paraId="59D815BD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763F509F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0D461B1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II: Produktoversigt</w:t>
      </w:r>
    </w:p>
    <w:p w14:paraId="36690B32">
      <w:pPr>
        <w:spacing w:beforeLines="50" w:afterLines="50"/>
        <w:rPr>
          <w:rFonts w:ascii="Times New Roman" w:hAnsi="Times New Roman"/>
          <w:b/>
          <w:sz w:val="44"/>
        </w:rPr>
      </w:pPr>
    </w:p>
    <w:p w14:paraId="7B2EAC7D">
      <w:pPr>
        <w:spacing w:beforeLines="50" w:afterLines="50"/>
        <w:rPr>
          <w:rFonts w:ascii="Times New Roman" w:hAnsi="Times New Roman"/>
          <w:b/>
          <w:sz w:val="44"/>
        </w:rPr>
      </w:pPr>
    </w:p>
    <w:p w14:paraId="0CB66D5F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4295775"/>
            <wp:effectExtent l="19050" t="0" r="0" b="0"/>
            <wp:docPr id="5" name="图片 2" descr="E:\清理Pro微信迁移目录\Users\xwechat_files\wxid_muahon3c2g0q21_d2f4\temp\InputTemp\1218fa9d-ca58-49ab-acc8-e1e8cadd9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:\清理Pro微信迁移目录\Users\xwechat_files\wxid_muahon3c2g0q21_d2f4\temp\InputTemp\1218fa9d-ca58-49ab-acc8-e1e8cadd912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2D099">
      <w:pPr>
        <w:spacing w:beforeLines="50" w:afterLines="50"/>
        <w:jc w:val="both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432AED9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7C0F23B2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III: Produktintroduktion</w:t>
      </w:r>
    </w:p>
    <w:p w14:paraId="5C19D6B0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2A170D48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4664019C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110.6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650206F0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Afbryder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6.55pt;width:148.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7278EC09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Betjeningspaneler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3" o:spid="_x0000_s2103" o:spt="202" type="#_x0000_t202" style="position:absolute;left:0pt;margin-left:246.3pt;margin-top:50pt;height:24.75pt;width:200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180DDED7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Ruller (fremstillet af silikone)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753100" cy="4314825"/>
            <wp:effectExtent l="19050" t="0" r="0" b="0"/>
            <wp:docPr id="6" name="图片 3" descr="E:\清理Pro微信迁移目录\Users\xwechat_files\wxid_muahon3c2g0q21_d2f4\temp\InputTemp\aa3089ca-e5b7-4d40-92bd-c8b43d7ff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aa3089ca-e5b7-4d40-92bd-c8b43d7fffd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86CD43">
      <w:pPr>
        <w:rPr>
          <w:rFonts w:ascii="Times New Roman" w:hAnsi="Times New Roman" w:cs="Times New Roman"/>
          <w:sz w:val="44"/>
          <w:szCs w:val="44"/>
        </w:rPr>
      </w:pPr>
    </w:p>
    <w:p w14:paraId="769838D7">
      <w:pPr>
        <w:rPr>
          <w:rFonts w:ascii="Times New Roman" w:hAnsi="Times New Roman" w:cs="Times New Roman"/>
          <w:sz w:val="44"/>
          <w:szCs w:val="44"/>
        </w:rPr>
      </w:pPr>
    </w:p>
    <w:p w14:paraId="68B6EFAD">
      <w:pPr>
        <w:rPr>
          <w:rFonts w:ascii="Times New Roman" w:hAnsi="Times New Roman" w:cs="Times New Roman"/>
          <w:sz w:val="44"/>
          <w:szCs w:val="44"/>
        </w:rPr>
      </w:pPr>
    </w:p>
    <w:p w14:paraId="7C07563A">
      <w:pPr>
        <w:rPr>
          <w:rFonts w:ascii="Times New Roman" w:hAnsi="Times New Roman" w:cs="Times New Roman"/>
          <w:sz w:val="44"/>
          <w:szCs w:val="44"/>
        </w:rPr>
      </w:pPr>
    </w:p>
    <w:p w14:paraId="6016EFFB">
      <w:pPr>
        <w:tabs>
          <w:tab w:val="left" w:pos="2610"/>
        </w:tabs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</w:p>
    <w:p w14:paraId="7E27802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603590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Nødafbryder</w:t>
                  </w:r>
                </w:p>
              </w:txbxContent>
            </v:textbox>
          </v:shape>
        </w:pict>
      </w:r>
    </w:p>
    <w:p w14:paraId="6A965329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IV: Produktdata</w:t>
      </w:r>
    </w:p>
    <w:p w14:paraId="62BA1A36">
      <w:pPr>
        <w:spacing w:beforeLines="50" w:afterLines="50"/>
        <w:rPr>
          <w:rFonts w:ascii="Times New Roman" w:hAnsi="Times New Roman"/>
          <w:b/>
          <w:sz w:val="44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0"/>
        <w:gridCol w:w="5099"/>
      </w:tblGrid>
      <w:tr w14:paraId="608BD071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5A0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Type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AA1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Horisontal rulning</w:t>
            </w:r>
          </w:p>
        </w:tc>
      </w:tr>
      <w:tr w14:paraId="4EFBB446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385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Ruller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A61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6 ruller</w:t>
            </w:r>
          </w:p>
        </w:tc>
      </w:tr>
      <w:tr w14:paraId="124DEC75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818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Maks. kapacitet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BDA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10*50ml centrifugerør / 0,5kg</w:t>
            </w:r>
          </w:p>
        </w:tc>
      </w:tr>
      <w:tr w14:paraId="72422F66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8A4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Styringstilstand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221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Digitale taster</w:t>
            </w:r>
          </w:p>
        </w:tc>
      </w:tr>
      <w:tr w14:paraId="2C0028B5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CE841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Hastighed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CBB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20-80 rpm</w:t>
            </w:r>
          </w:p>
        </w:tc>
      </w:tr>
      <w:tr w14:paraId="5D5D60FE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70B0A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Timing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44C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1min - 23h59min</w:t>
            </w:r>
          </w:p>
        </w:tc>
      </w:tr>
      <w:tr w14:paraId="7D15148D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8F42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SPECIFIKATIONER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8D9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φ6-34mm</w:t>
            </w:r>
          </w:p>
        </w:tc>
      </w:tr>
      <w:tr w14:paraId="10103421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1E71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Effekt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6CC5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25W</w:t>
            </w:r>
          </w:p>
        </w:tc>
      </w:tr>
      <w:tr w14:paraId="1BCC0C29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0DE4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Spænding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CC3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AC110-220V</w:t>
            </w:r>
          </w:p>
        </w:tc>
      </w:tr>
      <w:tr w14:paraId="66D0F3C1">
        <w:tc>
          <w:tcPr>
            <w:tcW w:w="4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6039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Dimensioner (mm)</w:t>
            </w:r>
          </w:p>
        </w:tc>
        <w:tc>
          <w:tcPr>
            <w:tcW w:w="50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BB5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440* </w:t>
            </w:r>
            <w:r>
              <w:rPr>
                <w:rStyle w:val="11"/>
                <w:rFonts w:ascii="Times New Roman" w:hAnsi="Times New Roman"/>
                <w:i w:val="0"/>
                <w:sz w:val="40"/>
                <w:szCs w:val="40"/>
              </w:rPr>
              <w:t>255*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105</w:t>
            </w:r>
          </w:p>
        </w:tc>
      </w:tr>
    </w:tbl>
    <w:p w14:paraId="0FDC800C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39A846F4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7B92596C"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65F6087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CE93E5C"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Cs w:val="0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</w:rPr>
        <w:t>V: Korrekt brug</w:t>
      </w:r>
    </w:p>
    <w:p w14:paraId="56007CBA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Anvendelse</w:t>
      </w:r>
    </w:p>
    <w:p w14:paraId="4AF39C0B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Velegnet til blandingsoperationer i forskellige anvendelser: elektronmikroskopisk analyse, blodcellesuspensioner, homogenisering af fuldblod og plasma, vævsprøver, vask af udfældninger, analyse af nedbrydningsplader, ekstraktionsprocesser, opløsnings- og langsomme reaktioner, roterende forsegling osv.</w:t>
      </w:r>
    </w:p>
    <w:p w14:paraId="1F79DF5F">
      <w:pPr>
        <w:spacing w:line="360" w:lineRule="atLeast"/>
        <w:ind w:left="168" w:leftChars="0" w:hanging="168" w:hangingChars="60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A87676">
      <w:pPr>
        <w:widowControl w:val="0"/>
        <w:spacing w:beforeLines="50" w:afterLines="50"/>
        <w:ind w:left="240" w:leftChars="0" w:hanging="240" w:hangingChars="6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</w:t>
      </w:r>
    </w:p>
    <w:p w14:paraId="7B954D05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Anvendes bredt i forskningsinstitutioner, medicinske skoler, sundhedssektoren og andre enheder samt i laboratorier inden for molekylærbiologi, virologi, mikrobiologi, patologi, immunologi m.fl.</w:t>
      </w:r>
    </w:p>
    <w:p w14:paraId="7B21EA3F">
      <w:pPr>
        <w:spacing w:line="360" w:lineRule="atLeast"/>
        <w:ind w:left="144" w:leftChars="0" w:hanging="144" w:hangingChars="60"/>
        <w:rPr>
          <w:rFonts w:ascii="Times New Roman" w:hAnsi="Times New Roman" w:cs="Times New Roman"/>
          <w:color w:val="000000"/>
        </w:rPr>
      </w:pPr>
    </w:p>
    <w:p w14:paraId="69650511">
      <w:pPr>
        <w:widowControl w:val="0"/>
        <w:spacing w:beforeLines="50" w:afterLines="50"/>
        <w:ind w:left="240" w:leftChars="0" w:hanging="240" w:hangingChars="6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Brugsanvisning</w:t>
      </w:r>
    </w:p>
    <w:p w14:paraId="732D4062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Tilslut strømforsyningen, og tænd for kontakten;</w:t>
      </w:r>
    </w:p>
    <w:p w14:paraId="3036D770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Placer prøverør/reagensflaske på rullen;</w:t>
      </w:r>
    </w:p>
    <w:p w14:paraId="49C097CF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MENU-knap til skift mellem tid/hastighed, op- og ned-knapper til justering af parametre;</w:t>
      </w:r>
    </w:p>
    <w:p w14:paraId="1148922E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Tryk på START/STOP-knapperne for at starte/stoppe enheden.</w:t>
      </w:r>
    </w:p>
    <w:p w14:paraId="4D2F73F1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836FDA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67F6FF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1450E4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222AF10A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76BED170"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01E8479C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A672F3C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anvendelsesm</w:t>
      </w:r>
      <w:bookmarkStart w:id="2" w:name="_GoBack"/>
      <w:bookmarkEnd w:id="2"/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iljø</w:t>
      </w:r>
    </w:p>
    <w:p w14:paraId="25A874AC">
      <w:pPr>
        <w:spacing w:line="360" w:lineRule="atLeast"/>
        <w:ind w:left="144" w:leftChars="0" w:hanging="144" w:hangingChars="60"/>
        <w:outlineLvl w:val="2"/>
        <w:rPr>
          <w:rFonts w:ascii="Segoe UI" w:hAnsi="Segoe UI" w:cs="Segoe UI"/>
          <w:color w:val="000000"/>
          <w:lang w:val="fr-FR" w:eastAsia="en-US"/>
        </w:rPr>
      </w:pPr>
    </w:p>
    <w:p w14:paraId="545ADF55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Indendørs brug</w:t>
      </w:r>
    </w:p>
    <w:p w14:paraId="0D68AD3C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Højde: ≤2000m</w:t>
      </w:r>
    </w:p>
    <w:p w14:paraId="6AE189A8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Instrumentet er egnet til omgivelsestemperaturområdet +5°C~+40°C</w:t>
      </w:r>
    </w:p>
    <w:p w14:paraId="0A64C54A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Instrumentets drift er egnet til relativ fugtighed ≤80%</w:t>
      </w:r>
    </w:p>
    <w:p w14:paraId="44D0B961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Der må ikke være vibrationer eller luftstrømme, der påvirker ydeevnen</w:t>
      </w:r>
    </w:p>
    <w:p w14:paraId="00E6C361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Der må ikke være ledende støv, eksplosive gasser eller korrosive gasser i den omgivende luft</w:t>
      </w:r>
    </w:p>
    <w:p w14:paraId="7215A605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Oprethold en sikkerhedsafstand på 10cm foran, bagved, til venstre og højre, når instrumentet er i drift</w:t>
      </w:r>
    </w:p>
    <w:p w14:paraId="465BF7B9">
      <w:pPr>
        <w:spacing w:line="360" w:lineRule="atLeast"/>
        <w:ind w:left="144" w:leftChars="0" w:hanging="144" w:hangingChars="60"/>
        <w:outlineLvl w:val="2"/>
        <w:rPr>
          <w:rFonts w:ascii="Segoe UI" w:hAnsi="Segoe UI" w:cs="Segoe UI"/>
          <w:color w:val="000000"/>
        </w:rPr>
      </w:pPr>
    </w:p>
    <w:p w14:paraId="3908FE3A">
      <w:pPr>
        <w:widowControl w:val="0"/>
        <w:spacing w:beforeLines="50" w:afterLines="50"/>
        <w:ind w:left="240" w:leftChars="0" w:hanging="240" w:hangingChars="6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Sikkerhedsforanstaltninger</w:t>
      </w:r>
    </w:p>
    <w:p w14:paraId="1B4C1994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Det er strengt forbudt at tilslutte eller frakoble strømstikket og betjene tænd/sluk-knappen, når hænderne er våde af væske! </w:t>
      </w:r>
    </w:p>
    <w:p w14:paraId="357570E3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Det er strengt forbudt at afbryde strømstikket, mens instrumentet er spændingsførende!</w:t>
      </w:r>
    </w:p>
    <w:p w14:paraId="5FD19475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Det er strengt forbudt at vedligeholde og rengøre instrumentet, mens det er tændt! </w:t>
      </w:r>
    </w:p>
    <w:p w14:paraId="53134122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Det er strengt forbudt at installere instrumentet på en ujævn og ustabil arbejdsflade!</w:t>
      </w:r>
    </w:p>
    <w:p w14:paraId="1E7BFFAA">
      <w:pPr>
        <w:spacing w:beforeLines="50" w:afterLines="50"/>
        <w:rPr>
          <w:rFonts w:hint="eastAsia" w:hAnsi="Symbol"/>
        </w:rPr>
      </w:pPr>
    </w:p>
    <w:p w14:paraId="48779323">
      <w:pPr>
        <w:spacing w:beforeLines="50" w:afterLines="50"/>
        <w:rPr>
          <w:rFonts w:hint="eastAsia" w:hAnsi="Symbol"/>
        </w:rPr>
      </w:pPr>
    </w:p>
    <w:p w14:paraId="433CE6E5">
      <w:pPr>
        <w:spacing w:beforeLines="50" w:afterLines="50"/>
        <w:rPr>
          <w:rFonts w:ascii="Times New Roman" w:hAnsi="Times New Roman" w:cs="Times New Roman"/>
        </w:rPr>
      </w:pPr>
    </w:p>
    <w:p w14:paraId="79C3A935"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56DF9546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F91550D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bookmark7"/>
      <w:r>
        <w:rPr>
          <w:rFonts w:ascii="Times New Roman" w:hAnsi="Times New Roman"/>
          <w:b/>
          <w:sz w:val="44"/>
        </w:rPr>
        <w:t>Leveringsliste</w:t>
      </w:r>
      <w:bookmarkEnd w:id="1"/>
    </w:p>
    <w:p w14:paraId="57601E4B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33C6239A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Hovedenhed</w:t>
      </w:r>
    </w:p>
    <w:p w14:paraId="3CACAA5F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Strømkabel</w:t>
      </w:r>
    </w:p>
    <w:p w14:paraId="1D16A661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Brugervejledning</w:t>
      </w:r>
    </w:p>
    <w:p w14:paraId="6493E23D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4ACCB9C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CDD4BAF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648325" cy="2228850"/>
            <wp:effectExtent l="19050" t="0" r="9525" b="0"/>
            <wp:docPr id="9" name="图片 4" descr="E:\清理Pro微信迁移目录\Users\xwechat_files\wxid_muahon3c2g0q21_d2f4\temp\InputTemp\1a474ced-ad04-4496-bbc7-71b6a692f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E:\清理Pro微信迁移目录\Users\xwechat_files\wxid_muahon3c2g0q21_d2f4\temp\InputTemp\1a474ced-ad04-4496-bbc7-71b6a692f84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C4A2D5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2F5B1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5539EB5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13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9194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304C2B"/>
    <w:rsid w:val="003249B0"/>
    <w:rsid w:val="00337925"/>
    <w:rsid w:val="00374504"/>
    <w:rsid w:val="00394CBA"/>
    <w:rsid w:val="003C05B8"/>
    <w:rsid w:val="00433B6F"/>
    <w:rsid w:val="00472075"/>
    <w:rsid w:val="00492B8E"/>
    <w:rsid w:val="004C0185"/>
    <w:rsid w:val="00545F1D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440DB"/>
    <w:rsid w:val="00892C05"/>
    <w:rsid w:val="00896291"/>
    <w:rsid w:val="008F7EDD"/>
    <w:rsid w:val="0090129F"/>
    <w:rsid w:val="009A3C36"/>
    <w:rsid w:val="009C00DE"/>
    <w:rsid w:val="009E63D9"/>
    <w:rsid w:val="00A04D78"/>
    <w:rsid w:val="00A430B0"/>
    <w:rsid w:val="00A61855"/>
    <w:rsid w:val="00A86B06"/>
    <w:rsid w:val="00A923F7"/>
    <w:rsid w:val="00AE7464"/>
    <w:rsid w:val="00B238ED"/>
    <w:rsid w:val="00C1730A"/>
    <w:rsid w:val="00C25A86"/>
    <w:rsid w:val="00C87C25"/>
    <w:rsid w:val="00C937F5"/>
    <w:rsid w:val="00CA49A3"/>
    <w:rsid w:val="00CB4805"/>
    <w:rsid w:val="00D057BC"/>
    <w:rsid w:val="00D10A39"/>
    <w:rsid w:val="00DC3F48"/>
    <w:rsid w:val="00EF2264"/>
    <w:rsid w:val="00EF2AE6"/>
    <w:rsid w:val="00F2534C"/>
    <w:rsid w:val="00F82B7A"/>
    <w:rsid w:val="00FD41E1"/>
    <w:rsid w:val="00FE5E65"/>
    <w:rsid w:val="00FF7494"/>
    <w:rsid w:val="69516080"/>
    <w:rsid w:val="753AA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a-DK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5"/>
    <customShpInfo spid="_x0000_s2104"/>
    <customShpInfo spid="_x0000_s2103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2026-04-28T05:37:45+00:00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6B76D-6802-42B2-A154-B40CC8102368}"/>
</file>

<file path=customXml/itemProps3.xml><?xml version="1.0" encoding="utf-8"?>
<ds:datastoreItem xmlns:ds="http://schemas.openxmlformats.org/officeDocument/2006/customXml" ds:itemID="{5424AD90-01E2-498D-B72C-E1D8832B4C0B}"/>
</file>

<file path=customXml/itemProps4.xml><?xml version="1.0" encoding="utf-8"?>
<ds:datastoreItem xmlns:ds="http://schemas.openxmlformats.org/officeDocument/2006/customXml" ds:itemID="{9C0DB1D6-A555-4C46-9274-107ABF3C9313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423</Words>
  <Characters>2416</Characters>
  <Lines>20</Lines>
  <Paragraphs>5</Paragraphs>
  <TotalTime>3</TotalTime>
  <ScaleCrop>false</ScaleCrop>
  <LinksUpToDate>false</LinksUpToDate>
  <CharactersWithSpaces>2834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31</cp:revision>
  <dcterms:created xsi:type="dcterms:W3CDTF">2026-03-26T19:29:00Z</dcterms:created>
  <dcterms:modified xsi:type="dcterms:W3CDTF">2026-04-09T09:25:55Z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